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5380">
      <w:pPr>
        <w:pStyle w:val="3"/>
        <w:shd w:val="clear" w:color="auto" w:fil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山钢特区冬季防寒服采购竞争性磋商采购公告</w:t>
      </w:r>
    </w:p>
    <w:p w14:paraId="71AEA8AD">
      <w:pPr>
        <w:widowControl/>
        <w:shd w:val="clear" w:color="auto" w:fill="auto"/>
        <w:tabs>
          <w:tab w:val="center" w:pos="4808"/>
          <w:tab w:val="left" w:pos="8065"/>
        </w:tabs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山东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鲁冶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项目管理有限公司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委托，现对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山钢特区冬季防寒服采购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，欢迎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有意向的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供应商参加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竞争性磋商采购活动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397E2B5B">
      <w:pPr>
        <w:widowControl/>
        <w:shd w:val="clear" w:color="auto" w:fill="auto"/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采购项目名称：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山钢特区冬季防寒服采购</w:t>
      </w:r>
    </w:p>
    <w:p w14:paraId="76355626">
      <w:pPr>
        <w:widowControl/>
        <w:shd w:val="clear" w:color="auto" w:fill="auto"/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二、采购项目编号：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541101726042409 </w:t>
      </w:r>
    </w:p>
    <w:p w14:paraId="5E0FD0BB">
      <w:pPr>
        <w:widowControl/>
        <w:shd w:val="clear" w:color="auto" w:fill="auto"/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三、采购内容：</w:t>
      </w:r>
    </w:p>
    <w:tbl>
      <w:tblPr>
        <w:tblStyle w:val="9"/>
        <w:tblpPr w:leftFromText="180" w:rightFromText="180" w:vertAnchor="text" w:horzAnchor="page" w:tblpX="1682" w:tblpY="152"/>
        <w:tblOverlap w:val="never"/>
        <w:tblW w:w="8743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2613"/>
        <w:gridCol w:w="730"/>
        <w:gridCol w:w="3540"/>
        <w:gridCol w:w="1093"/>
      </w:tblGrid>
      <w:tr w14:paraId="7F3FE49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7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 w:val="0"/>
            <w:vAlign w:val="center"/>
          </w:tcPr>
          <w:p w14:paraId="55B7D4AC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1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 w:val="0"/>
            <w:vAlign w:val="center"/>
          </w:tcPr>
          <w:p w14:paraId="4311887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3"/>
                <w:sz w:val="24"/>
                <w:highlight w:val="none"/>
              </w:rPr>
              <w:t>货品名称</w:t>
            </w:r>
          </w:p>
        </w:tc>
        <w:tc>
          <w:tcPr>
            <w:tcW w:w="7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 w:val="0"/>
            <w:vAlign w:val="center"/>
          </w:tcPr>
          <w:p w14:paraId="22201C80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highlight w:val="none"/>
              </w:rPr>
              <w:t>单位</w:t>
            </w:r>
          </w:p>
        </w:tc>
        <w:tc>
          <w:tcPr>
            <w:tcW w:w="35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 w:val="0"/>
            <w:vAlign w:val="center"/>
          </w:tcPr>
          <w:p w14:paraId="0EFF502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highlight w:val="none"/>
              </w:rPr>
              <w:t>数量</w:t>
            </w:r>
          </w:p>
        </w:tc>
        <w:tc>
          <w:tcPr>
            <w:tcW w:w="109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0F0F0"/>
            <w:noWrap w:val="0"/>
            <w:vAlign w:val="center"/>
          </w:tcPr>
          <w:p w14:paraId="0E0AF53A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4"/>
                <w:highlight w:val="none"/>
              </w:rPr>
              <w:t>备注</w:t>
            </w:r>
          </w:p>
        </w:tc>
      </w:tr>
      <w:tr w14:paraId="5C0B2F6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</w:tblPrEx>
        <w:trPr>
          <w:trHeight w:val="924" w:hRule="atLeast"/>
        </w:trPr>
        <w:tc>
          <w:tcPr>
            <w:tcW w:w="76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4DA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7C1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防寒服（冲锋衣样式）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CE1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4C93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山钢资本、莱钢集团现有职工采购冬季防寒服人员约450人（其中莱钢集团约200人，山钢资本约250人）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9ADC5D5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技术要求详见采购文件。</w:t>
            </w:r>
          </w:p>
        </w:tc>
      </w:tr>
      <w:tr w14:paraId="329A18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743" w:type="dxa"/>
            <w:gridSpan w:val="5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042E1CC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 w:color="auto" w:fill="auto"/>
              <w:tabs>
                <w:tab w:val="left" w:pos="197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注：1.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highlight w:val="none"/>
              </w:rPr>
              <w:t>每名职工标准：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highlight w:val="none"/>
                <w:lang w:val="en-US" w:eastAsia="zh-CN"/>
              </w:rPr>
              <w:t>1件防寒服（冲锋衣样式）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highlight w:val="none"/>
              </w:rPr>
              <w:t>具体以实际发放人数为准，据实结算。</w:t>
            </w:r>
          </w:p>
        </w:tc>
      </w:tr>
    </w:tbl>
    <w:p w14:paraId="6158D8C9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201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10"/>
          <w:szCs w:val="10"/>
          <w:highlight w:val="none"/>
          <w:lang w:val="en-US" w:eastAsia="zh-CN" w:bidi="ar-SA"/>
        </w:rPr>
      </w:pPr>
    </w:p>
    <w:p w14:paraId="7D1802F6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四、采购要求：</w:t>
      </w:r>
    </w:p>
    <w:p w14:paraId="6E06829B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1.交货期：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该货物可为成交供应商的成品或定制产品，成交供应商自签订合同日起60个工作日内完成货物交付；</w:t>
      </w:r>
    </w:p>
    <w:p w14:paraId="1CDB0E96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2.量体及交货地点：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山钢集团办公楼（济南市高新区舜泰广场4号楼）、莱钢集团办公楼（济南市钢城区府前大街99号）。</w:t>
      </w:r>
    </w:p>
    <w:p w14:paraId="20BD9328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3.样品要求：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本项目需提供样品，项目负责人或授权代理人现场答辩解说，样品数量详见采购文件。</w:t>
      </w:r>
    </w:p>
    <w:p w14:paraId="78A80009">
      <w:pPr>
        <w:pStyle w:val="5"/>
        <w:shd w:val="clear" w:color="auto" w:fill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4.最高限价：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防寒服（冲锋衣样式）最高限价为人民币2000元/套（含税，含设计、生产、包装、运输、配送、售后服务等全部费用）。</w:t>
      </w:r>
    </w:p>
    <w:p w14:paraId="07AECB80">
      <w:pPr>
        <w:widowControl/>
        <w:numPr>
          <w:ilvl w:val="0"/>
          <w:numId w:val="0"/>
        </w:numPr>
        <w:shd w:val="clear" w:color="auto" w:fill="auto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五、成交供应商数量：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6DFEA61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六、供应商资格：</w:t>
      </w:r>
    </w:p>
    <w:p w14:paraId="7B9587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1.在中华人民共和国境内注册的企业法人，具有独立签订合同的权利；营业执照经营范围应包含服饰类加工或生产、销售等；</w:t>
      </w:r>
    </w:p>
    <w:p w14:paraId="5D24D1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2. 供应商须是防寒服（冲锋衣样式）产品的设计、生产制造企业，或其授权品牌的代理商、经销商、加盟商。</w:t>
      </w:r>
    </w:p>
    <w:p w14:paraId="0FABF88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3.具有履行合同所必需的设备和专业技术能力，具备成熟服装生产、销售及设计能力；</w:t>
      </w:r>
    </w:p>
    <w:p w14:paraId="6B184B5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4.供应商2023年5月1日至今（递交响应文件截止日）具有团体冬季防寒服（冲锋衣样式）类似项目实施成功案例（时间以合同签订时间为准）；</w:t>
      </w:r>
    </w:p>
    <w:p w14:paraId="02B30FB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.供应商具有良好的商业信誉和健全的财务会计制度，企业财务状况良好，没有处于被责令停业，磋商响应资格被取消，财产被接管、冻结或破产状态；2023年5月1日至今在经营活动中没有重大违法记录，最近三年内无发生重大产品质量问题；未被工商行政管理机关在国家企业信用信息公示系统网站（www.gsxt.gov.cn）中列入严重违法失信企业名单，在“信用中国”网站（www.creditchina.gov.cn）中被列入失信被执行人、重大税收违法案件当事人名单，政府采购严重违法失信行为记录名单，近三年内供应商或其法定代表人没有行贿犯罪行为（以“中国裁判文书网”（http://wenshu.court.gov.cn）查询结果为准）；</w:t>
      </w:r>
    </w:p>
    <w:p w14:paraId="4F91F64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6.本次采购不接受联合体响应磋商，成交后不得违法转包、分包。</w:t>
      </w:r>
    </w:p>
    <w:p w14:paraId="0892DC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7.供应商不得存在下列情形之一：</w:t>
      </w:r>
    </w:p>
    <w:p w14:paraId="1B26F5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（1）处于责令停产停业、暂扣或者吊销执照、暂扣或者吊销许可证、吊销资质证书状态；</w:t>
      </w:r>
    </w:p>
    <w:p w14:paraId="4A9CFFA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（2）进入清算程序，或被宣告破产，或其他丧失履约能力的情形；</w:t>
      </w:r>
    </w:p>
    <w:p w14:paraId="2D6B863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（3）其他：①与采购人存在利害关系且可能影响投标活动公正性；②与本招标项目的其他供应商为同一个单位负责人；③与本招标项目的其他供应商存在控股、管理关系；</w:t>
      </w:r>
    </w:p>
    <w:p w14:paraId="4CE17AB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（4）被山东钢铁集团有限公司及权属单位列入合作异常名录的。</w:t>
      </w:r>
    </w:p>
    <w:p w14:paraId="133E5DD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8.本项目采用资格后审方式，请供应商仔细阅读以上资格条件要求并自查，资格审查不通过者，不再进入下一环节评审。</w:t>
      </w:r>
    </w:p>
    <w:p w14:paraId="1A2AB4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★七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、获取采购文件</w:t>
      </w:r>
    </w:p>
    <w:p w14:paraId="47E13B75">
      <w:pPr>
        <w:pStyle w:val="8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lang w:val="en-US" w:eastAsia="zh-CN"/>
        </w:rPr>
        <w:t>1.请贵单位于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u w:val="single"/>
          <w:lang w:val="en-US" w:eastAsia="zh-CN"/>
        </w:rPr>
        <w:t>2026年6月2日起至2026年6月5日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lang w:val="en-US" w:eastAsia="zh-CN"/>
        </w:rPr>
        <w:t>，每日上午08:30～11:30、下午13:30～16:30 （北京时间）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u w:val="single"/>
          <w:lang w:val="en-US" w:eastAsia="zh-CN"/>
        </w:rPr>
        <w:t>持登记表（附件1）、单位介绍信或授权委托书（格式自拟）的电子版扫描件以及购买标书凭证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Cs w:val="24"/>
          <w:highlight w:val="none"/>
          <w:lang w:val="en-US" w:eastAsia="zh-CN"/>
        </w:rPr>
        <w:t>发送至sdlyzbdl@163.com（邮箱均为字母）进行报名，采购代理机构确认后下载标书。</w:t>
      </w:r>
    </w:p>
    <w:p w14:paraId="4F05EF9D">
      <w:pPr>
        <w:shd w:val="clear" w:color="auto" w:fill="auto"/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2.注册：尚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未在山东钢铁集团有限公司招标采购与拍卖管理信息平台注册的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登录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网址：</w:t>
      </w:r>
      <w:bookmarkStart w:id="12" w:name="_GoBack"/>
      <w:bookmarkEnd w:id="1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/采购代理方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报名、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响应报价等操作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登录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网址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报名、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采购文件（如标书费收费的项目请先发送相关报名材料、付款标书费后再下载标书）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投标。</w:t>
      </w:r>
    </w:p>
    <w:p w14:paraId="76D9A85B">
      <w:pPr>
        <w:shd w:val="clear" w:color="auto" w:fill="auto"/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项目收取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采购文件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工本费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200.00元，售出不退；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文件费采取网上转账方式，报名费必须由企业对公账户转出，务必备注项目名称+用途（可简写）；供应商必须确保银行转账记录的真实性，由于提供错误或者虚假的转账凭证，产生的一切后果由供应商自负。</w:t>
      </w:r>
    </w:p>
    <w:p w14:paraId="7A9BEC71"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★八、竞争性磋商响应文件、样品的递交要求：   </w:t>
      </w:r>
    </w:p>
    <w:p w14:paraId="3EA73087">
      <w:pPr>
        <w:shd w:val="clear" w:color="auto" w:fill="auto"/>
        <w:spacing w:line="360" w:lineRule="auto"/>
        <w:ind w:left="6" w:firstLine="49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电子版响应文件：网上报价、平台上传盖章扫描版响应文件，网上上传响应文件的截止时间（磋商时间）为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2026年6月16日09:00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，对逾期上传或未上传的，不予受理。</w:t>
      </w:r>
    </w:p>
    <w:p w14:paraId="3D4B4F48">
      <w:pPr>
        <w:shd w:val="clear" w:color="auto" w:fill="auto"/>
        <w:spacing w:line="360" w:lineRule="auto"/>
        <w:ind w:left="6" w:firstLine="49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纸质版响应文件：本项目需现场磋商，同时在响应文件的截止时间为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2026年6月16日09:00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（北京时间）前递交纸质版响应文件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u w:val="single"/>
          <w:lang w:val="en-US" w:eastAsia="zh-CN"/>
        </w:rPr>
        <w:t>（正本一份，副本六份）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，递交地点为济南市高新区舜泰广场4号楼17层会议室。</w:t>
      </w:r>
    </w:p>
    <w:p w14:paraId="34AF55E3">
      <w:pPr>
        <w:shd w:val="clear" w:color="auto" w:fill="auto"/>
        <w:spacing w:line="360" w:lineRule="auto"/>
        <w:ind w:left="6" w:firstLine="49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样品要求：本项目要求供应商在磋商现场提供服装样品，女士防寒服、男士防寒服（男女款分别提供，每款数量最多不超过5种），详细要求详见采购文件。</w:t>
      </w:r>
    </w:p>
    <w:p w14:paraId="0C51E762">
      <w:pPr>
        <w:pStyle w:val="13"/>
        <w:shd w:val="clear" w:color="auto" w:fill="auto"/>
        <w:spacing w:line="360" w:lineRule="auto"/>
        <w:ind w:left="480" w:left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 w14:paraId="4D8E98CD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山钢资本控股（深圳）有限公司/莱芜钢铁集团有限公司</w:t>
      </w:r>
      <w:r>
        <w:rPr>
          <w:rFonts w:hint="eastAsia" w:ascii="仿宋" w:hAnsi="仿宋" w:eastAsia="仿宋" w:cs="仿宋"/>
          <w:bCs/>
          <w:caps w:val="0"/>
          <w:smallCaps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aps w:val="0"/>
          <w:smallCaps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caps w:val="0"/>
          <w:smallCaps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</w:t>
      </w:r>
    </w:p>
    <w:p w14:paraId="1B43B28D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地  址： 济南市高新区舜华路2000号舜泰广场4号楼</w:t>
      </w:r>
    </w:p>
    <w:p w14:paraId="0CA60D04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系人：苗女士</w:t>
      </w:r>
    </w:p>
    <w:p w14:paraId="562A8ADA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联系电话：17653165533</w:t>
      </w:r>
    </w:p>
    <w:p w14:paraId="2120A2EF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合同甲方：</w:t>
      </w:r>
    </w:p>
    <w:p w14:paraId="1E4FCBED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【√】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山钢资本控股（深圳）有限公司/莱芜钢铁集团有限公司</w:t>
      </w:r>
    </w:p>
    <w:p w14:paraId="2F234897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采购代理机构：山东鲁冶项目管理有限公司</w:t>
      </w:r>
    </w:p>
    <w:p w14:paraId="29198C37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济南市高新区舜华路2000号舜泰广场4号楼</w:t>
      </w:r>
    </w:p>
    <w:p w14:paraId="1D4A28C5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刘女士、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于先生</w:t>
      </w:r>
    </w:p>
    <w:p w14:paraId="76116AE8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18769398022、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18353197992</w:t>
      </w:r>
    </w:p>
    <w:p w14:paraId="7E135D47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电子邮箱：sdlyzbdl@163.com    </w:t>
      </w:r>
    </w:p>
    <w:p w14:paraId="074A94DA">
      <w:pPr>
        <w:pStyle w:val="8"/>
        <w:shd w:val="clear" w:color="auto" w:fill="auto"/>
        <w:spacing w:beforeAutospacing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标书费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收款账户信息：</w:t>
      </w:r>
    </w:p>
    <w:p w14:paraId="69DA0134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账户名称：山东鲁冶项目管理有限公司</w:t>
      </w:r>
    </w:p>
    <w:p w14:paraId="66801FBF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开 户 行：农行济南文苑支行</w:t>
      </w:r>
    </w:p>
    <w:p w14:paraId="2D7E356A">
      <w:pPr>
        <w:pStyle w:val="13"/>
        <w:shd w:val="clear" w:color="auto" w:fill="auto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账    号：15153201040003377</w:t>
      </w:r>
    </w:p>
    <w:p w14:paraId="71D93BC5">
      <w:pPr>
        <w:pStyle w:val="8"/>
        <w:shd w:val="clear" w:color="auto" w:fill="auto"/>
        <w:spacing w:beforeAutospacing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、发布媒体</w:t>
      </w:r>
    </w:p>
    <w:p w14:paraId="5BE89B19">
      <w:pPr>
        <w:pStyle w:val="8"/>
        <w:keepNext w:val="0"/>
        <w:keepLines w:val="0"/>
        <w:pageBreakBefore w:val="0"/>
        <w:widowControl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  <w:t>。</w:t>
      </w:r>
    </w:p>
    <w:p w14:paraId="41828987">
      <w:pPr>
        <w:shd w:val="clear" w:color="auto" w:fill="auto"/>
        <w:spacing w:line="360" w:lineRule="auto"/>
        <w:jc w:val="righ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  <w:t>发布人：山东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鲁冶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  <w:t>项目管理有限公司</w:t>
      </w:r>
    </w:p>
    <w:p w14:paraId="4800B954">
      <w:pPr>
        <w:shd w:val="clear" w:color="auto" w:fill="auto"/>
        <w:spacing w:line="360" w:lineRule="auto"/>
        <w:ind w:firstLine="3840" w:firstLineChars="1600"/>
        <w:jc w:val="center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  <w:t>发布时间：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</w:rPr>
        <w:t>日</w:t>
      </w:r>
    </w:p>
    <w:p w14:paraId="4BDDFC59">
      <w:pPr>
        <w:shd w:val="clear" w:color="auto" w:fill="auto"/>
        <w:spacing w:before="65" w:line="228" w:lineRule="auto"/>
        <w:rPr>
          <w:rFonts w:hint="eastAsia" w:ascii="仿宋" w:hAnsi="仿宋" w:eastAsia="仿宋" w:cs="仿宋"/>
          <w:color w:val="auto"/>
          <w:highlight w:val="none"/>
        </w:rPr>
        <w:sectPr>
          <w:headerReference r:id="rId5" w:type="default"/>
          <w:footerReference r:id="rId6" w:type="default"/>
          <w:pgSz w:w="11905" w:h="16838"/>
          <w:pgMar w:top="1701" w:right="1417" w:bottom="1417" w:left="1417" w:header="850" w:footer="737" w:gutter="0"/>
          <w:cols w:space="720" w:num="1"/>
          <w:rtlGutter w:val="0"/>
          <w:docGrid w:type="lines" w:linePitch="327" w:charSpace="0"/>
        </w:sectPr>
      </w:pPr>
    </w:p>
    <w:p w14:paraId="39401E63">
      <w:pPr>
        <w:shd w:val="clear" w:color="auto" w:fill="auto"/>
        <w:spacing w:before="65" w:line="228" w:lineRule="auto"/>
        <w:rPr>
          <w:rFonts w:hint="eastAsia" w:ascii="仿宋" w:hAnsi="仿宋" w:eastAsia="仿宋" w:cs="仿宋"/>
          <w:color w:val="auto"/>
          <w:sz w:val="22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附件1：</w:t>
      </w:r>
    </w:p>
    <w:p w14:paraId="5BF923BE">
      <w:pPr>
        <w:shd w:val="clear" w:color="auto" w:fill="auto"/>
        <w:ind w:firstLine="723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bookmarkStart w:id="0" w:name="_Toc15299_WPSOffice_Level2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供应商登记表</w:t>
      </w:r>
      <w:bookmarkEnd w:id="0"/>
    </w:p>
    <w:p w14:paraId="0E346059">
      <w:pPr>
        <w:shd w:val="clear" w:color="auto" w:fill="auto"/>
        <w:spacing w:line="64" w:lineRule="exact"/>
        <w:ind w:firstLine="420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14"/>
        <w:tblW w:w="88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994"/>
        <w:gridCol w:w="2659"/>
        <w:gridCol w:w="400"/>
        <w:gridCol w:w="1695"/>
        <w:gridCol w:w="124"/>
        <w:gridCol w:w="2224"/>
      </w:tblGrid>
      <w:tr w14:paraId="302D5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5D37EC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日   期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125008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14789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270D7B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项目名称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7FDB76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6788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1480AE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项目编号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37EA43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4F8D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02391C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 xml:space="preserve">供应商名称 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5F01F6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（填写单位全称）（加盖公章）</w:t>
            </w:r>
          </w:p>
        </w:tc>
      </w:tr>
      <w:tr w14:paraId="5E5E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4ABB85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项目联系人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75CDC4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85A05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手   机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79C2F3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7F79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3177D5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联系电话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72DBD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E3484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传   真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7A61DA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7E885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08732A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邮    编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29D56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E5E1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电子邮箱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6EF111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5D247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0BC835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通讯地址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166AB9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02C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151288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收件地址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2E34F9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（请填写默认的收件地址）</w:t>
            </w:r>
          </w:p>
        </w:tc>
      </w:tr>
      <w:tr w14:paraId="30D0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 w14:paraId="72A8F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开票信息及</w:t>
            </w:r>
          </w:p>
          <w:p w14:paraId="467474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供应商账户信息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2D224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一般纳税人：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 xml:space="preserve">是 /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否；</w:t>
            </w:r>
          </w:p>
          <w:p w14:paraId="660F2C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eastAsia="en-US"/>
              </w:rPr>
              <w:t>标书费发票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：普票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/专票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eastAsia="en-US"/>
              </w:rPr>
              <w:t>服务费发票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：普票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/专票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；</w:t>
            </w:r>
          </w:p>
          <w:p w14:paraId="042D91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单位名称：</w:t>
            </w:r>
          </w:p>
          <w:p w14:paraId="7E507E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大额行号：</w:t>
            </w:r>
          </w:p>
          <w:p w14:paraId="1ECAD7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税    号：</w:t>
            </w:r>
          </w:p>
          <w:p w14:paraId="4EBCC5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地    址：</w:t>
            </w:r>
          </w:p>
          <w:p w14:paraId="33D1A4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电    话：</w:t>
            </w:r>
          </w:p>
          <w:p w14:paraId="0CD6E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开 户 行：</w:t>
            </w:r>
          </w:p>
          <w:p w14:paraId="5A8BD5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账    号：</w:t>
            </w:r>
          </w:p>
        </w:tc>
      </w:tr>
      <w:tr w14:paraId="0DBF9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883" w:type="dxa"/>
            <w:gridSpan w:val="7"/>
            <w:noWrap w:val="0"/>
            <w:vAlign w:val="center"/>
          </w:tcPr>
          <w:p w14:paraId="0036B6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递交的文件材料</w:t>
            </w:r>
          </w:p>
        </w:tc>
      </w:tr>
      <w:tr w14:paraId="6BDFF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noWrap w:val="0"/>
            <w:vAlign w:val="center"/>
          </w:tcPr>
          <w:p w14:paraId="24671F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序号</w:t>
            </w:r>
          </w:p>
        </w:tc>
        <w:tc>
          <w:tcPr>
            <w:tcW w:w="3653" w:type="dxa"/>
            <w:gridSpan w:val="2"/>
            <w:noWrap w:val="0"/>
            <w:vAlign w:val="center"/>
          </w:tcPr>
          <w:p w14:paraId="610A3C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材料名称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742B30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是否提交</w:t>
            </w:r>
          </w:p>
        </w:tc>
        <w:tc>
          <w:tcPr>
            <w:tcW w:w="2224" w:type="dxa"/>
            <w:noWrap w:val="0"/>
            <w:vAlign w:val="center"/>
          </w:tcPr>
          <w:p w14:paraId="1435C9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 w14:paraId="0481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87" w:type="dxa"/>
            <w:noWrap w:val="0"/>
            <w:vAlign w:val="center"/>
          </w:tcPr>
          <w:p w14:paraId="174308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1</w:t>
            </w:r>
          </w:p>
        </w:tc>
        <w:tc>
          <w:tcPr>
            <w:tcW w:w="3653" w:type="dxa"/>
            <w:gridSpan w:val="2"/>
            <w:noWrap w:val="0"/>
            <w:vAlign w:val="center"/>
          </w:tcPr>
          <w:p w14:paraId="7A48D9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单位介绍信/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  <w:t>授权委托书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07157E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4A870B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4160C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87" w:type="dxa"/>
            <w:noWrap w:val="0"/>
            <w:vAlign w:val="center"/>
          </w:tcPr>
          <w:p w14:paraId="699B5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653" w:type="dxa"/>
            <w:gridSpan w:val="2"/>
            <w:noWrap w:val="0"/>
            <w:vAlign w:val="center"/>
          </w:tcPr>
          <w:p w14:paraId="3CB480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 w14:paraId="3430C0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0488B0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C30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87" w:type="dxa"/>
            <w:noWrap w:val="0"/>
            <w:vAlign w:val="center"/>
          </w:tcPr>
          <w:p w14:paraId="068A16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  <w:bookmarkStart w:id="1" w:name="_Toc18653"/>
            <w:bookmarkStart w:id="2" w:name="_Toc14772"/>
            <w:bookmarkStart w:id="3" w:name="_Toc8584"/>
            <w:bookmarkStart w:id="4" w:name="_Toc15638"/>
          </w:p>
        </w:tc>
        <w:tc>
          <w:tcPr>
            <w:tcW w:w="3653" w:type="dxa"/>
            <w:gridSpan w:val="2"/>
            <w:noWrap w:val="0"/>
            <w:vAlign w:val="center"/>
          </w:tcPr>
          <w:p w14:paraId="08518A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 w14:paraId="6AF9F8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6E1A29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61A3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87" w:type="dxa"/>
            <w:noWrap w:val="0"/>
            <w:vAlign w:val="center"/>
          </w:tcPr>
          <w:p w14:paraId="08D117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653" w:type="dxa"/>
            <w:gridSpan w:val="2"/>
            <w:noWrap w:val="0"/>
            <w:vAlign w:val="center"/>
          </w:tcPr>
          <w:p w14:paraId="6A1DAE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 w14:paraId="236E05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160435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</w:tbl>
    <w:p w14:paraId="1AED434F">
      <w:pPr>
        <w:shd w:val="clear" w:color="auto" w:fill="auto"/>
        <w:spacing w:before="101"/>
        <w:ind w:firstLine="440"/>
        <w:outlineLvl w:val="1"/>
        <w:rPr>
          <w:rFonts w:hint="eastAsia" w:ascii="仿宋" w:hAnsi="仿宋" w:eastAsia="仿宋" w:cs="仿宋"/>
          <w:color w:val="auto"/>
          <w:sz w:val="22"/>
          <w:highlight w:val="none"/>
        </w:rPr>
        <w:sectPr>
          <w:pgSz w:w="11905" w:h="16838"/>
          <w:pgMar w:top="1701" w:right="1417" w:bottom="1417" w:left="1417" w:header="850" w:footer="737" w:gutter="0"/>
          <w:cols w:space="720" w:num="1"/>
          <w:rtlGutter w:val="0"/>
          <w:docGrid w:type="lines" w:linePitch="327" w:charSpace="0"/>
        </w:sectPr>
      </w:pPr>
      <w:bookmarkStart w:id="5" w:name="_Toc2440"/>
      <w:bookmarkStart w:id="6" w:name="_Toc27750"/>
      <w:r>
        <w:rPr>
          <w:rFonts w:hint="eastAsia" w:ascii="仿宋" w:hAnsi="仿宋" w:eastAsia="仿宋" w:cs="仿宋"/>
          <w:color w:val="auto"/>
          <w:sz w:val="22"/>
          <w:highlight w:val="none"/>
        </w:rPr>
        <w:t>注：本表中的电子邮箱、地址、联系人、联系电话必须准确，确保能及时接收到相关资料（含采购文件）和信息、快递等。</w:t>
      </w:r>
      <w:bookmarkEnd w:id="1"/>
      <w:bookmarkEnd w:id="2"/>
      <w:bookmarkEnd w:id="3"/>
      <w:bookmarkEnd w:id="4"/>
      <w:bookmarkEnd w:id="5"/>
      <w:bookmarkEnd w:id="6"/>
    </w:p>
    <w:p w14:paraId="4A9DA235">
      <w:pPr>
        <w:shd w:val="clear" w:color="auto" w:fill="auto"/>
        <w:spacing w:after="360" w:afterLines="150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7" w:name="_Toc7379"/>
      <w:bookmarkStart w:id="8" w:name="_Toc31069"/>
      <w:bookmarkStart w:id="9" w:name="_Toc19794"/>
      <w:bookmarkStart w:id="10" w:name="_Toc11575"/>
      <w:bookmarkStart w:id="11" w:name="_Toc1272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：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单位介绍信或经办人的授权委托书</w:t>
      </w:r>
      <w:bookmarkEnd w:id="7"/>
      <w:bookmarkEnd w:id="8"/>
      <w:bookmarkEnd w:id="9"/>
      <w:bookmarkEnd w:id="10"/>
      <w:bookmarkEnd w:id="11"/>
    </w:p>
    <w:p w14:paraId="4741BA06">
      <w:pPr>
        <w:shd w:val="clear" w:color="auto" w:fill="auto"/>
        <w:kinsoku w:val="0"/>
        <w:autoSpaceDE w:val="0"/>
        <w:autoSpaceDN w:val="0"/>
        <w:adjustRightInd w:val="0"/>
        <w:snapToGrid w:val="0"/>
        <w:spacing w:before="120" w:beforeLines="50"/>
        <w:ind w:firstLine="480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格式自拟，并附被委托人身份证明复印件</w:t>
      </w:r>
    </w:p>
    <w:p w14:paraId="38E44AA3">
      <w:pPr>
        <w:shd w:val="clear" w:color="auto" w:fill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732C94D">
      <w:pPr>
        <w:shd w:val="clear" w:color="auto" w:fill="auto"/>
        <w:ind w:firstLine="48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BBA9D8B">
      <w:pPr>
        <w:pStyle w:val="4"/>
        <w:numPr>
          <w:ilvl w:val="2"/>
          <w:numId w:val="0"/>
        </w:numPr>
        <w:shd w:val="clear" w:color="auto" w:fil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B6C7FCB">
      <w:pPr>
        <w:shd w:val="clear" w:color="auto" w:fill="auto"/>
        <w:wordWrap w:val="0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3DB7336B">
      <w:pPr>
        <w:shd w:val="clear" w:color="auto" w:fill="auto"/>
        <w:wordWrap w:val="0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BC0D793">
      <w:pPr>
        <w:shd w:val="clear" w:color="auto" w:fill="auto"/>
        <w:wordWrap w:val="0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3490F4E">
      <w:pPr>
        <w:shd w:val="clear" w:color="auto" w:fill="auto"/>
        <w:wordWrap w:val="0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供应商名称（公章）：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</w:t>
      </w:r>
    </w:p>
    <w:p w14:paraId="44DA3D26">
      <w:pPr>
        <w:shd w:val="clear" w:color="auto" w:fill="auto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授权人（签名或签章）：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 </w:t>
      </w:r>
    </w:p>
    <w:p w14:paraId="54F55DC3">
      <w:pPr>
        <w:shd w:val="clear" w:color="auto" w:fill="auto"/>
        <w:ind w:firstLine="48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委托代理人（签名）：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 </w:t>
      </w:r>
    </w:p>
    <w:p w14:paraId="29CB6162">
      <w:pPr>
        <w:shd w:val="clear" w:color="auto" w:fill="auto"/>
        <w:ind w:firstLine="6000" w:firstLineChars="25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E1B76D9">
      <w:pPr>
        <w:shd w:val="clear" w:color="auto" w:fill="auto"/>
        <w:spacing w:line="360" w:lineRule="auto"/>
        <w:ind w:firstLine="3840" w:firstLineChars="1600"/>
        <w:jc w:val="center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5124">
    <w:pPr>
      <w:spacing w:line="236" w:lineRule="exact"/>
      <w:ind w:left="3968" w:firstLine="340"/>
      <w:rPr>
        <w:rFonts w:eastAsia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C5A998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5A998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F08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6AAE9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AAE9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E96B">
    <w:pPr>
      <w:pStyle w:val="7"/>
      <w:pBdr>
        <w:bottom w:val="none" w:color="auto" w:sz="0" w:space="1"/>
      </w:pBdr>
      <w:tabs>
        <w:tab w:val="left" w:pos="6920"/>
        <w:tab w:val="clear" w:pos="8306"/>
      </w:tabs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2C17"/>
    <w:rsid w:val="040E67C6"/>
    <w:rsid w:val="058B1BC3"/>
    <w:rsid w:val="09CC5E80"/>
    <w:rsid w:val="1D122C17"/>
    <w:rsid w:val="3B5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2929</Characters>
  <Lines>0</Lines>
  <Paragraphs>0</Paragraphs>
  <TotalTime>1</TotalTime>
  <ScaleCrop>false</ScaleCrop>
  <LinksUpToDate>false</LinksUpToDate>
  <CharactersWithSpaces>3119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2026-06-02T08:15:00Z</dcterms:created>
  <dc:creator>sdly</dc:creator>
  <cp:lastModifiedBy>liuwenshuan</cp:lastModifiedBy>
  <dcterms:modified xsi:type="dcterms:W3CDTF">2026-06-04T05:46:28Z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A17F10CCE6F243A7956A60ADC42F6EA6_11</vt:lpwstr>
  </property>
  <property fmtid="{D5CDD505-2E9C-101B-9397-08002B2CF9AE}" pid="4" name="KSOTemplateDocerSaveRecord">
    <vt:lpwstr>eyJoZGlkIjoiMzEwNTM5NzYwMDRjMzkwZTVkZjY2ODkwMGIxNGU0OTUiLCJ1c2VySWQiOiIxMjA3ODU3MzU5In0=</vt:lpwstr>
  </property>
</Properties>
</file>